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MASLD and Ever smoking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MASLD was inversely associated with Ever smoking (past/current) (odds ratio 0.89 (95% CI 0.64 to 1.25), false discovery rate q 0.582) among 26876 adults aged 20 years or older (a weighted Ever smoking (past/current) prevalence of 43.2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0.89 (95% CI 0.64 to 1.25)</w:t>
            </w:r>
          </w:p>
        </w:tc>
        <w:tc>
          <w:tcPr>
            <w:tcW w:type="dxa" w:w="1234"/>
          </w:tcPr>
          <w:p>
            <w:r>
              <w:t>0.525</w:t>
            </w:r>
          </w:p>
        </w:tc>
        <w:tc>
          <w:tcPr>
            <w:tcW w:type="dxa" w:w="1234"/>
          </w:tcPr>
          <w:p>
            <w:r>
              <w:t>0.582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MASLD (exposure)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50.6%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