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25(OH)D, ng/mL and Ever smoking (past/current)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Serum 25(OH)D, ng/mL was inversely associated with Ever smoking (past/current) (odds ratio per 1-SD 0.94 (95% CI 0.90 to 0.98), false discovery rate q 0.011) among 26876 adults aged 20 years or older (a weighted Ever smoking (past/current) prevalence of 43.2 percent, survey-weighted). Confounders: Age, years, Male sex,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25(OH)D, ng/mL</w:t>
            </w:r>
          </w:p>
        </w:tc>
        <w:tc>
          <w:tcPr>
            <w:tcW w:type="dxa" w:w="1234"/>
          </w:tcPr>
          <w:p>
            <w:r>
              <w:t>Ever smoking (past/current)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0.94 (95% CI 0.90 to 0.98)</w:t>
            </w:r>
          </w:p>
        </w:tc>
        <w:tc>
          <w:tcPr>
            <w:tcW w:type="dxa" w:w="1234"/>
          </w:tcPr>
          <w:p>
            <w:r>
              <w:t>0.007</w:t>
            </w:r>
          </w:p>
        </w:tc>
        <w:tc>
          <w:tcPr>
            <w:tcW w:type="dxa" w:w="1234"/>
          </w:tcPr>
          <w:p>
            <w:r>
              <w:t>0.011</w:t>
            </w:r>
          </w:p>
        </w:tc>
        <w:tc>
          <w:tcPr>
            <w:tcW w:type="dxa" w:w="1234"/>
          </w:tcPr>
          <w:p>
            <w:r>
              <w:t>26876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Ever smoking (past/current)</w:t>
            </w:r>
          </w:p>
        </w:tc>
        <w:tc>
          <w:tcPr>
            <w:tcW w:type="dxa" w:w="2160"/>
          </w:tcPr>
          <w:p>
            <w:r>
              <w:t>Ever smoking (past/current)</w:t>
            </w:r>
          </w:p>
        </w:tc>
      </w:tr>
      <w:tr>
        <w:tc>
          <w:tcPr>
            <w:tcW w:type="dxa" w:w="2160"/>
          </w:tcPr>
          <w:p>
            <w:r>
              <w:t>Serum 25(OH)D, ng/mL (exposure)</w:t>
            </w:r>
          </w:p>
        </w:tc>
        <w:tc>
          <w:tcPr>
            <w:tcW w:type="dxa" w:w="2160"/>
          </w:tcPr>
          <w:p>
            <w:r>
              <w:t>28.2</w:t>
            </w:r>
          </w:p>
        </w:tc>
        <w:tc>
          <w:tcPr>
            <w:tcW w:type="dxa" w:w="2160"/>
          </w:tcPr>
          <w:p>
            <w:r>
              <w:t>28.1</w:t>
            </w:r>
          </w:p>
        </w:tc>
        <w:tc>
          <w:tcPr>
            <w:tcW w:type="dxa" w:w="2160"/>
          </w:tcPr>
          <w:p>
            <w:r>
              <w:t>28.3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46.0</w:t>
            </w:r>
          </w:p>
        </w:tc>
        <w:tc>
          <w:tcPr>
            <w:tcW w:type="dxa" w:w="2160"/>
          </w:tcPr>
          <w:p>
            <w:r>
              <w:t>49.2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42.3%</w:t>
            </w:r>
          </w:p>
        </w:tc>
        <w:tc>
          <w:tcPr>
            <w:tcW w:type="dxa" w:w="2160"/>
          </w:tcPr>
          <w:p>
            <w:r>
              <w:t>55.6%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80.6%</w:t>
            </w:r>
          </w:p>
        </w:tc>
        <w:tc>
          <w:tcPr>
            <w:tcW w:type="dxa" w:w="2160"/>
          </w:tcPr>
          <w:p>
            <w:r>
              <w:t>73.4%</w:t>
            </w:r>
          </w:p>
        </w:tc>
        <w:tc>
          <w:tcPr>
            <w:tcW w:type="dxa" w:w="2160"/>
          </w:tcPr>
          <w:p>
            <w:r>
              <w:t>90.0%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29.2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