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inversely associated with Ever smoking (past/current) (odds ratio per 1-SD 0.94 (95% CI 0.86 to 1.03), false discovery rate q 0.221) among 26876 adults aged 20 years or older (a weighted Ever smoking (past/current) prevalence of 43.2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0.86 to 1.03)</w:t>
            </w:r>
          </w:p>
        </w:tc>
        <w:tc>
          <w:tcPr>
            <w:tcW w:type="dxa" w:w="1234"/>
          </w:tcPr>
          <w:p>
            <w:r>
              <w:t>0.179</w:t>
            </w:r>
          </w:p>
        </w:tc>
        <w:tc>
          <w:tcPr>
            <w:tcW w:type="dxa" w:w="1234"/>
          </w:tcPr>
          <w:p>
            <w:r>
              <w:t>0.221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  <w:tc>
          <w:tcPr>
            <w:tcW w:type="dxa" w:w="2160"/>
          </w:tcPr>
          <w:p>
            <w:r>
              <w:t>54.1</w:t>
            </w:r>
          </w:p>
        </w:tc>
        <w:tc>
          <w:tcPr>
            <w:tcW w:type="dxa" w:w="2160"/>
          </w:tcPr>
          <w:p>
            <w:r>
              <w:t>55.7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