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inversely associated with FIB-4 index (beta coefficient -0.01 (95% CI -0.09 to 0.07), false discovery rate q 0.769)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-0.09 to 0.07)</w:t>
            </w:r>
          </w:p>
        </w:tc>
        <w:tc>
          <w:tcPr>
            <w:tcW w:type="dxa" w:w="1234"/>
          </w:tcPr>
          <w:p>
            <w:r>
              <w:t>0.734</w:t>
            </w:r>
          </w:p>
        </w:tc>
        <w:tc>
          <w:tcPr>
            <w:tcW w:type="dxa" w:w="1234"/>
          </w:tcPr>
          <w:p>
            <w:r>
              <w:t>0.769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