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inversely associated with FIB-4 index (beta coefficient per 1-SD of log -0.01 (95% CI -0.05 to 0.02), false discovery rate q 0.435)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-0.05 to 0.02)</w:t>
            </w:r>
          </w:p>
        </w:tc>
        <w:tc>
          <w:tcPr>
            <w:tcW w:type="dxa" w:w="1234"/>
          </w:tcPr>
          <w:p>
            <w:r>
              <w:t>0.378</w:t>
            </w:r>
          </w:p>
        </w:tc>
        <w:tc>
          <w:tcPr>
            <w:tcW w:type="dxa" w:w="1234"/>
          </w:tcPr>
          <w:p>
            <w:r>
              <w:t>0.435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