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inversely associated with FIB-4 index (beta coefficient per 1-SD -0.01 (95% CI -0.04 to 0.01), false discovery rate q 0.298)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-0.04 to 0.01)</w:t>
            </w:r>
          </w:p>
        </w:tc>
        <w:tc>
          <w:tcPr>
            <w:tcW w:type="dxa" w:w="1234"/>
          </w:tcPr>
          <w:p>
            <w:r>
              <w:t>0.248</w:t>
            </w:r>
          </w:p>
        </w:tc>
        <w:tc>
          <w:tcPr>
            <w:tcW w:type="dxa" w:w="1234"/>
          </w:tcPr>
          <w:p>
            <w:r>
              <w:t>0.298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