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positively associated with Fasting glucose, mg/dL (beta coefficient 3.61 (95% CI -8.77 to 15.99), false discovery rate q 0.623) among 12581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3.61 (95% CI -8.77 to 15.99)</w:t>
            </w:r>
          </w:p>
        </w:tc>
        <w:tc>
          <w:tcPr>
            <w:tcW w:type="dxa" w:w="1234"/>
          </w:tcPr>
          <w:p>
            <w:r>
              <w:t>0.570</w:t>
            </w:r>
          </w:p>
        </w:tc>
        <w:tc>
          <w:tcPr>
            <w:tcW w:type="dxa" w:w="1234"/>
          </w:tcPr>
          <w:p>
            <w:r>
              <w:t>0.623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3.7%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