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Fasting insulin, uIU/mL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smoking (past/current) was inversely associated with Fasting insulin, uIU/mL (beta coefficient -0.02 (95% CI -0.65 to 0.61), false discovery rate q 0.964) among 12285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-0.02 (95% CI -0.65 to 0.61)</w:t>
            </w:r>
          </w:p>
        </w:tc>
        <w:tc>
          <w:tcPr>
            <w:tcW w:type="dxa" w:w="1234"/>
          </w:tcPr>
          <w:p>
            <w:r>
              <w:t>0.956</w:t>
            </w:r>
          </w:p>
        </w:tc>
        <w:tc>
          <w:tcPr>
            <w:tcW w:type="dxa" w:w="1234"/>
          </w:tcPr>
          <w:p>
            <w:r>
              <w:t>0.964</w:t>
            </w:r>
          </w:p>
        </w:tc>
        <w:tc>
          <w:tcPr>
            <w:tcW w:type="dxa" w:w="1234"/>
          </w:tcPr>
          <w:p>
            <w:r>
              <w:t>12285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