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Fasting insulin, uIU/mL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Femoral neck BMD, g/cm2 was inversely associated with Fasting insulin, uIU/mL (beta coefficient per 1-SD -0.54 (95% CI -1.19 to 0.11), false discovery rate q 0.139) among 12285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-0.54 (95% CI -1.19 to 0.11)</w:t>
            </w:r>
          </w:p>
        </w:tc>
        <w:tc>
          <w:tcPr>
            <w:tcW w:type="dxa" w:w="1234"/>
          </w:tcPr>
          <w:p>
            <w:r>
              <w:t>0.107</w:t>
            </w:r>
          </w:p>
        </w:tc>
        <w:tc>
          <w:tcPr>
            <w:tcW w:type="dxa" w:w="1234"/>
          </w:tcPr>
          <w:p>
            <w:r>
              <w:t>0.139</w:t>
            </w:r>
          </w:p>
        </w:tc>
        <w:tc>
          <w:tcPr>
            <w:tcW w:type="dxa" w:w="1234"/>
          </w:tcPr>
          <w:p>
            <w:r>
              <w:t>12285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Femoral neck BMD, g/cm2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