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Height, cm was positively associated with Fasting insulin, uIU/mL (beta coefficient per 1-SD 0.22 (95% CI -0.29 to 0.73), false discovery rate q 0.462) among 12285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0.22 (95% CI -0.29 to 0.73)</w:t>
            </w:r>
          </w:p>
        </w:tc>
        <w:tc>
          <w:tcPr>
            <w:tcW w:type="dxa" w:w="1234"/>
          </w:tcPr>
          <w:p>
            <w:r>
              <w:t>0.404</w:t>
            </w:r>
          </w:p>
        </w:tc>
        <w:tc>
          <w:tcPr>
            <w:tcW w:type="dxa" w:w="1234"/>
          </w:tcPr>
          <w:p>
            <w:r>
              <w:t>0.462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168.7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