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positively associated with Fasting insulin, uIU/mL (beta coefficient per 1-SD 0.29 (95% CI -1.12 to 1.71), false discovery rate q 0.735) among 12285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0.29 (95% CI -1.12 to 1.71)</w:t>
            </w:r>
          </w:p>
        </w:tc>
        <w:tc>
          <w:tcPr>
            <w:tcW w:type="dxa" w:w="1234"/>
          </w:tcPr>
          <w:p>
            <w:r>
              <w:t>0.694</w:t>
            </w:r>
          </w:p>
        </w:tc>
        <w:tc>
          <w:tcPr>
            <w:tcW w:type="dxa" w:w="1234"/>
          </w:tcPr>
          <w:p>
            <w:r>
              <w:t>0.735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Liver stiffness, kPa (exposure)</w:t>
            </w:r>
          </w:p>
        </w:tc>
        <w:tc>
          <w:tcPr>
            <w:tcW w:type="dxa" w:w="4320"/>
          </w:tcPr>
          <w:p>
            <w:r>
              <w:t>5.8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