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Atherogenic dyslipidemia (high TG + low HDL) was positively associated with Femoral neck BMD, g/cm2 (beta coefficient 0.00 (95% CI -0.01 to 0.01), false discovery rate q 0.991) among 11316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-0.01 to 0.01)</w:t>
            </w:r>
          </w:p>
        </w:tc>
        <w:tc>
          <w:tcPr>
            <w:tcW w:type="dxa" w:w="1234"/>
          </w:tcPr>
          <w:p>
            <w:r>
              <w:t>0.989</w:t>
            </w:r>
          </w:p>
        </w:tc>
        <w:tc>
          <w:tcPr>
            <w:tcW w:type="dxa" w:w="1234"/>
          </w:tcPr>
          <w:p>
            <w:r>
              <w:t>0.991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13.6%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