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positively associated with Femoral neck BMD, g/cm2 (beta coefficient per 1-SD 0.00 (95% CI -0.01 to 0.01), false discovery rate q 0.823) among 11316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-0.01 to 0.01)</w:t>
            </w:r>
          </w:p>
        </w:tc>
        <w:tc>
          <w:tcPr>
            <w:tcW w:type="dxa" w:w="1234"/>
          </w:tcPr>
          <w:p>
            <w:r>
              <w:t>0.796</w:t>
            </w:r>
          </w:p>
        </w:tc>
        <w:tc>
          <w:tcPr>
            <w:tcW w:type="dxa" w:w="1234"/>
          </w:tcPr>
          <w:p>
            <w:r>
              <w:t>0.823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Controlled attenuation parameter, dB/m (exposure)</w:t>
            </w:r>
          </w:p>
        </w:tc>
        <w:tc>
          <w:tcPr>
            <w:tcW w:type="dxa" w:w="4320"/>
          </w:tcPr>
          <w:p>
            <w:r>
              <w:t>270.6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