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Femoral neck BMD, g/cm2 (beta coefficient 0.00 (95% CI -0.01 to 0.02), false discovery rate q 0.643)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0.02)</w:t>
            </w:r>
          </w:p>
        </w:tc>
        <w:tc>
          <w:tcPr>
            <w:tcW w:type="dxa" w:w="1234"/>
          </w:tcPr>
          <w:p>
            <w:r>
              <w:t>0.592</w:t>
            </w:r>
          </w:p>
        </w:tc>
        <w:tc>
          <w:tcPr>
            <w:tcW w:type="dxa" w:w="1234"/>
          </w:tcPr>
          <w:p>
            <w:r>
              <w:t>0.643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