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FIB-4 index was positively associated with Femoral neck BMD, g/cm2 (beta coefficient per 1-SD 0.00 (95% CI -0.00 to 0.01), false discovery rate q 0.239)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-0.00 to 0.01)</w:t>
            </w:r>
          </w:p>
        </w:tc>
        <w:tc>
          <w:tcPr>
            <w:tcW w:type="dxa" w:w="1234"/>
          </w:tcPr>
          <w:p>
            <w:r>
              <w:t>0.195</w:t>
            </w:r>
          </w:p>
        </w:tc>
        <w:tc>
          <w:tcPr>
            <w:tcW w:type="dxa" w:w="1234"/>
          </w:tcPr>
          <w:p>
            <w:r>
              <w:t>0.239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