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Fasting glucose, mg/dL and Femoral neck BMD, g/cm2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Fasting glucose, mg/dL was positively associated with Femoral neck BMD, g/cm2 (beta coefficient per 1-SD 0.00 (95% CI -0.00 to 0.01), false discovery rate q 0.199) among 11316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Fasting glucose, mg/dL</w:t>
            </w:r>
          </w:p>
        </w:tc>
        <w:tc>
          <w:tcPr>
            <w:tcW w:type="dxa" w:w="1234"/>
          </w:tcPr>
          <w:p>
            <w:r>
              <w:t>Femoral neck BMD, g/cm2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0.00 (95% CI -0.00 to 0.01)</w:t>
            </w:r>
          </w:p>
        </w:tc>
        <w:tc>
          <w:tcPr>
            <w:tcW w:type="dxa" w:w="1234"/>
          </w:tcPr>
          <w:p>
            <w:r>
              <w:t>0.160</w:t>
            </w:r>
          </w:p>
        </w:tc>
        <w:tc>
          <w:tcPr>
            <w:tcW w:type="dxa" w:w="1234"/>
          </w:tcPr>
          <w:p>
            <w:r>
              <w:t>0.199</w:t>
            </w:r>
          </w:p>
        </w:tc>
        <w:tc>
          <w:tcPr>
            <w:tcW w:type="dxa" w:w="1234"/>
          </w:tcPr>
          <w:p>
            <w:r>
              <w:t>11316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Fasting glucose, mg/dL (exposure)</w:t>
            </w:r>
          </w:p>
        </w:tc>
        <w:tc>
          <w:tcPr>
            <w:tcW w:type="dxa" w:w="4320"/>
          </w:tcPr>
          <w:p>
            <w:r>
              <w:t>106.2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50.3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49.5%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46.1%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79.0%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28.2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