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inversely associated with Femoral neck BMD, g/cm2 (beta coefficient per 1-SD of log -0.00 (95% CI -0.01 to 0.00), false discovery rate q 0.299)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0.249</w:t>
            </w:r>
          </w:p>
        </w:tc>
        <w:tc>
          <w:tcPr>
            <w:tcW w:type="dxa" w:w="1234"/>
          </w:tcPr>
          <w:p>
            <w:r>
              <w:t>0.299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12.3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