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inversely associated with Femoral neck BMD, g/cm2 (beta coefficient per 1-SD -0.00 (95% CI -0.01 to 0.00), false discovery rate q 0.324)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0.272</w:t>
            </w:r>
          </w:p>
        </w:tc>
        <w:tc>
          <w:tcPr>
            <w:tcW w:type="dxa" w:w="1234"/>
          </w:tcPr>
          <w:p>
            <w:r>
              <w:t>0.324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