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Femoral neck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non-HDL cholesterol (&gt;=190) was inversely associated with Femoral neck BMD, g/cm2 (beta coefficient -0.01 (95% CI -0.02 to -0.00), false discovery rate q 0.008) among 11316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-0.02 to -0.00)</w:t>
            </w:r>
          </w:p>
        </w:tc>
        <w:tc>
          <w:tcPr>
            <w:tcW w:type="dxa" w:w="1234"/>
          </w:tcPr>
          <w:p>
            <w:r>
              <w:t>0.005</w:t>
            </w:r>
          </w:p>
        </w:tc>
        <w:tc>
          <w:tcPr>
            <w:tcW w:type="dxa" w:w="1234"/>
          </w:tcPr>
          <w:p>
            <w:r>
              <w:t>0.008</w:t>
            </w:r>
          </w:p>
        </w:tc>
        <w:tc>
          <w:tcPr>
            <w:tcW w:type="dxa" w:w="1234"/>
          </w:tcPr>
          <w:p>
            <w:r>
              <w:t>11316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non-HDL cholesterol (&gt;=190) (exposure)</w:t>
            </w:r>
          </w:p>
        </w:tc>
        <w:tc>
          <w:tcPr>
            <w:tcW w:type="dxa" w:w="4320"/>
          </w:tcPr>
          <w:p>
            <w:r>
              <w:t>13.3%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50.3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79.0%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