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inversely associated with Femoral neck BMD, g/cm2 (beta coefficient -0.01 (95% CI -0.02 to 0.00), false discovery rate q 0.299)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0.00)</w:t>
            </w:r>
          </w:p>
        </w:tc>
        <w:tc>
          <w:tcPr>
            <w:tcW w:type="dxa" w:w="1234"/>
          </w:tcPr>
          <w:p>
            <w:r>
              <w:t>0.249</w:t>
            </w:r>
          </w:p>
        </w:tc>
        <w:tc>
          <w:tcPr>
            <w:tcW w:type="dxa" w:w="1234"/>
          </w:tcPr>
          <w:p>
            <w:r>
              <w:t>0.299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27.0%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