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Femoral neck BMD, g/cm2 (beta coefficient per 1-SD -0.00 (95% CI -0.01 to 0.00), false discovery rate q 0.454)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0.397</w:t>
            </w:r>
          </w:p>
        </w:tc>
        <w:tc>
          <w:tcPr>
            <w:tcW w:type="dxa" w:w="1234"/>
          </w:tcPr>
          <w:p>
            <w:r>
              <w:t>0.454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