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HDL cholesterol and Femoral neck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Low HDL cholesterol was positively associated with Femoral neck BMD, g/cm2 (beta coefficient 0.00 (95% CI -0.00 to 0.01), false discovery rate q 0.441) among 11316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0.00 (95% CI -0.00 to 0.01)</w:t>
            </w:r>
          </w:p>
        </w:tc>
        <w:tc>
          <w:tcPr>
            <w:tcW w:type="dxa" w:w="1234"/>
          </w:tcPr>
          <w:p>
            <w:r>
              <w:t>0.384</w:t>
            </w:r>
          </w:p>
        </w:tc>
        <w:tc>
          <w:tcPr>
            <w:tcW w:type="dxa" w:w="1234"/>
          </w:tcPr>
          <w:p>
            <w:r>
              <w:t>0.441</w:t>
            </w:r>
          </w:p>
        </w:tc>
        <w:tc>
          <w:tcPr>
            <w:tcW w:type="dxa" w:w="1234"/>
          </w:tcPr>
          <w:p>
            <w:r>
              <w:t>11316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HDL cholesterol (exposure)</w:t>
            </w:r>
          </w:p>
        </w:tc>
        <w:tc>
          <w:tcPr>
            <w:tcW w:type="dxa" w:w="4320"/>
          </w:tcPr>
          <w:p>
            <w:r>
              <w:t>29.4%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50.3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79.0%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28.2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