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Femoral neck BMD, g/cm2 (beta coefficient per 1-SD -0.01 (95% CI -0.01 to 0.00), false discovery rate q 0.147)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0.00)</w:t>
            </w:r>
          </w:p>
        </w:tc>
        <w:tc>
          <w:tcPr>
            <w:tcW w:type="dxa" w:w="1234"/>
          </w:tcPr>
          <w:p>
            <w:r>
              <w:t>0.114</w:t>
            </w:r>
          </w:p>
        </w:tc>
        <w:tc>
          <w:tcPr>
            <w:tcW w:type="dxa" w:w="1234"/>
          </w:tcPr>
          <w:p>
            <w:r>
              <w:t>0.147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