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Body mass index, kg/m2 and Gamma-glutamyl transferase, IU/L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Body mass index, kg/m2 was positively associated with Gamma-glutamyl transferase, IU/L (beta coefficient per 1-SD 3.40 (95% CI 2.87 to 3.94), false discovery rate q &lt;0.001) among 24980 adults aged 20 years or older (survey-weighted). Confounders: Age, years, Male sex.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Body mass index, kg/m2</w:t>
            </w:r>
          </w:p>
        </w:tc>
        <w:tc>
          <w:tcPr>
            <w:tcW w:type="dxa" w:w="1234"/>
          </w:tcPr>
          <w:p>
            <w:r>
              <w:t>Gamma-glutamyl transferase, IU/L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3.40 (95% CI 2.87 to 3.94)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24980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Body mass index, kg/m2 (exposure)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43.3%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