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Hepatic steatosis was positively associated with Gamma-glutamyl transferase, IU/L (beta coefficient 9.05 (95% CI 4.25 to 13.84), false discovery rate q 0.008)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9.05 (95% CI 4.25 to 13.84)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(exposure)</w:t>
            </w:r>
          </w:p>
        </w:tc>
        <w:tc>
          <w:tcPr>
            <w:tcW w:type="dxa" w:w="4320"/>
          </w:tcPr>
          <w:p>
            <w:r>
              <w:t>56.3%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