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Hypertension and Gamma-glutamyl transferase, IU/L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Hypertension was positively associated with Gamma-glutamyl transferase, IU/L (beta coefficient 9.35 (95% CI 7.03 to 11.67), false discovery rate q &lt;0.001) among 24980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Gamma-glutamyl 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9.35 (95% CI 7.03 to 11.67)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Hypertension (exposure)</w:t>
            </w:r>
          </w:p>
        </w:tc>
        <w:tc>
          <w:tcPr>
            <w:tcW w:type="dxa" w:w="4320"/>
          </w:tcPr>
          <w:p>
            <w:r>
              <w:t>36.1%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