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MASLD was positively associated with Gamma-glutamyl transferase, IU/L (beta coefficient 2.02 (95% CI -2.60 to 6.65), false discovery rate q 0.472)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2.02 (95% CI -2.60 to 6.65)</w:t>
            </w:r>
          </w:p>
        </w:tc>
        <w:tc>
          <w:tcPr>
            <w:tcW w:type="dxa" w:w="1234"/>
          </w:tcPr>
          <w:p>
            <w:r>
              <w:t>0.413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51.2%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