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Metabolic syndrome was positively associated with Gamma-glutamyl transferase, IU/L (beta coefficient 9.31 (95% CI 6.95 to 11.68), false discovery rate q &lt;0.001)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9.31 (95% CI 6.95 to 11.68)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Metabolic syndrome (exposure)</w:t>
            </w:r>
          </w:p>
        </w:tc>
        <w:tc>
          <w:tcPr>
            <w:tcW w:type="dxa" w:w="4320"/>
          </w:tcPr>
          <w:p>
            <w:r>
              <w:t>37.4%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