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positively associated with HOMA-IR (beta coefficient 0.06 (95% CI -0.19 to 0.32), false discovery rate q 0.669) among 12256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0.06 (95% CI -0.19 to 0.32)</w:t>
            </w:r>
          </w:p>
        </w:tc>
        <w:tc>
          <w:tcPr>
            <w:tcW w:type="dxa" w:w="1234"/>
          </w:tcPr>
          <w:p>
            <w:r>
              <w:t>0.621</w:t>
            </w:r>
          </w:p>
        </w:tc>
        <w:tc>
          <w:tcPr>
            <w:tcW w:type="dxa" w:w="1234"/>
          </w:tcPr>
          <w:p>
            <w:r>
              <w:t>0.669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