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Low muscle mass (low ASMI, AWGS cut) and HOMA-IR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Low muscle mass (low ASMI, AWGS cut) was inversely associated with HOMA-IR (beta coefficient -1.48 (95% CI -1.93 to -1.03), false discovery rate q &lt;0.001) among 12256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Low muscle mass (low ASMI, AWGS cut)</w:t>
            </w:r>
          </w:p>
        </w:tc>
        <w:tc>
          <w:tcPr>
            <w:tcW w:type="dxa" w:w="1234"/>
          </w:tcPr>
          <w:p>
            <w:r>
              <w:t>HOMA-IR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-1.48 (95% CI -1.93 to -1.03)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12256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Low muscle mass (low ASMI, AWGS cut) (exposure)</w:t>
            </w:r>
          </w:p>
        </w:tc>
        <w:tc>
          <w:tcPr>
            <w:tcW w:type="dxa" w:w="4320"/>
          </w:tcPr>
          <w:p>
            <w:r>
              <w:t>3.6%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47.9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48.7%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81.0%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