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inversely associated with HOMA-IR (beta coefficient per 1-SD -0.06 (95% CI -0.21 to 0.10), false discovery rate q 0.538) among 12256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-0.06 (95% CI -0.21 to 0.10)</w:t>
            </w:r>
          </w:p>
        </w:tc>
        <w:tc>
          <w:tcPr>
            <w:tcW w:type="dxa" w:w="1234"/>
          </w:tcPr>
          <w:p>
            <w:r>
              <w:t>0.481</w:t>
            </w:r>
          </w:p>
        </w:tc>
        <w:tc>
          <w:tcPr>
            <w:tcW w:type="dxa" w:w="1234"/>
          </w:tcPr>
          <w:p>
            <w:r>
              <w:t>0.538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246.5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