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Height,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Aspartate aminotransferase, IU/L was inversely associated with Height, cm (beta coefficient per 1-SD -0.08 (95% CI -0.23 to 0.07), false discovery rate q 0.353) among 26558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-0.08 (95% CI -0.23 to 0.07)</w:t>
            </w:r>
          </w:p>
        </w:tc>
        <w:tc>
          <w:tcPr>
            <w:tcW w:type="dxa" w:w="1234"/>
          </w:tcPr>
          <w:p>
            <w:r>
              <w:t>0.299</w:t>
            </w:r>
          </w:p>
        </w:tc>
        <w:tc>
          <w:tcPr>
            <w:tcW w:type="dxa" w:w="1234"/>
          </w:tcPr>
          <w:p>
            <w:r>
              <w:t>0.353</w:t>
            </w:r>
          </w:p>
        </w:tc>
        <w:tc>
          <w:tcPr>
            <w:tcW w:type="dxa" w:w="1234"/>
          </w:tcPr>
          <w:p>
            <w:r>
              <w:t>26558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Aspartate aminotransferase, IU/L (exposure)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