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Hepatic steatosis (odds ratio 0.90 (95% CI 0.73 to 1.11), false discovery rate q 0.390) among 3001 adults aged 20 years or older (a weighted Hepatic steatosis prevalence of 56.0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0.73 to 1.11)</w:t>
            </w:r>
          </w:p>
        </w:tc>
        <w:tc>
          <w:tcPr>
            <w:tcW w:type="dxa" w:w="1234"/>
          </w:tcPr>
          <w:p>
            <w:r>
              <w:t>0.335</w:t>
            </w:r>
          </w:p>
        </w:tc>
        <w:tc>
          <w:tcPr>
            <w:tcW w:type="dxa" w:w="1234"/>
          </w:tcPr>
          <w:p>
            <w:r>
              <w:t>0.390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17.2%</w:t>
            </w:r>
          </w:p>
        </w:tc>
        <w:tc>
          <w:tcPr>
            <w:tcW w:type="dxa" w:w="2160"/>
          </w:tcPr>
          <w:p>
            <w:r>
              <w:t>18.8%</w:t>
            </w:r>
          </w:p>
        </w:tc>
        <w:tc>
          <w:tcPr>
            <w:tcW w:type="dxa" w:w="2160"/>
          </w:tcPr>
          <w:p>
            <w:r>
              <w:t>16.0%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