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FIB-4 index and Hepatic steatosis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FIB-4 index was inversely associated with Hepatic steatosis (odds ratio per 1-SD 0.81 (95% CI 0.52 to 1.24), false discovery rate q 0.405) among 3001 adults aged 20 years or older (a weighted Hepatic steatosis prevalence of 56.0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alcohol and smoking. BMI is part of the steatosis construct and is not used for adjustment.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Hepatic steatosis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0.81 (95% CI 0.52 to 1.24)</w:t>
            </w:r>
          </w:p>
        </w:tc>
        <w:tc>
          <w:tcPr>
            <w:tcW w:type="dxa" w:w="1234"/>
          </w:tcPr>
          <w:p>
            <w:r>
              <w:t>0.349</w:t>
            </w:r>
          </w:p>
        </w:tc>
        <w:tc>
          <w:tcPr>
            <w:tcW w:type="dxa" w:w="1234"/>
          </w:tcPr>
          <w:p>
            <w:r>
              <w:t>0.405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Hepatic steatosis</w:t>
            </w:r>
          </w:p>
        </w:tc>
        <w:tc>
          <w:tcPr>
            <w:tcW w:type="dxa" w:w="2160"/>
          </w:tcPr>
          <w:p>
            <w:r>
              <w:t>Hepatic steatosis</w:t>
            </w:r>
          </w:p>
        </w:tc>
      </w:tr>
      <w:tr>
        <w:tc>
          <w:tcPr>
            <w:tcW w:type="dxa" w:w="2160"/>
          </w:tcPr>
          <w:p>
            <w:r>
              <w:t>FIB-4 index (exposure)</w:t>
            </w:r>
          </w:p>
        </w:tc>
        <w:tc>
          <w:tcPr>
            <w:tcW w:type="dxa" w:w="2160"/>
          </w:tcPr>
          <w:p>
            <w:r>
              <w:t>1.1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44.2</w:t>
            </w:r>
          </w:p>
        </w:tc>
        <w:tc>
          <w:tcPr>
            <w:tcW w:type="dxa" w:w="2160"/>
          </w:tcPr>
          <w:p>
            <w:r>
              <w:t>50.2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  <w:tc>
          <w:tcPr>
            <w:tcW w:type="dxa" w:w="2160"/>
          </w:tcPr>
          <w:p>
            <w:r>
              <w:t>52.8%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92.4%</w:t>
            </w:r>
          </w:p>
        </w:tc>
        <w:tc>
          <w:tcPr>
            <w:tcW w:type="dxa" w:w="2160"/>
          </w:tcPr>
          <w:p>
            <w:r>
              <w:t>92.3%</w:t>
            </w:r>
          </w:p>
        </w:tc>
        <w:tc>
          <w:tcPr>
            <w:tcW w:type="dxa" w:w="2160"/>
          </w:tcPr>
          <w:p>
            <w:r>
              <w:t>92.6%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  <w:tc>
          <w:tcPr>
            <w:tcW w:type="dxa" w:w="2160"/>
          </w:tcPr>
          <w:p>
            <w:r>
              <w:t>37.3%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