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LDL cholesterol (&gt;=160) and Hepatic steatosis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High LDL cholesterol (&gt;=160) was positively associated with Hepatic steatosis (odds ratio 1.39 (95% CI 0.75 to 2.58), false discovery rate q 0.379) among 3001 adults aged 20 years or older (a weighted Hepatic steatosis prevalence of 56.0 percent, survey-weighted). Confounders: Age, years, Male sex,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alcohol and smoking. BMI is part of the steatosis construct and is not used for adjustment. Adjustment for this exposure: Age, years, Male sex,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1.39 (95% CI 0.75 to 2.58)</w:t>
            </w:r>
          </w:p>
        </w:tc>
        <w:tc>
          <w:tcPr>
            <w:tcW w:type="dxa" w:w="1234"/>
          </w:tcPr>
          <w:p>
            <w:r>
              <w:t>0.324</w:t>
            </w:r>
          </w:p>
        </w:tc>
        <w:tc>
          <w:tcPr>
            <w:tcW w:type="dxa" w:w="1234"/>
          </w:tcPr>
          <w:p>
            <w:r>
              <w:t>0.379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Hepatic steatosis</w:t>
            </w:r>
          </w:p>
        </w:tc>
        <w:tc>
          <w:tcPr>
            <w:tcW w:type="dxa" w:w="2160"/>
          </w:tcPr>
          <w:p>
            <w:r>
              <w:t>Hepatic steatosis</w:t>
            </w:r>
          </w:p>
        </w:tc>
      </w:tr>
      <w:tr>
        <w:tc>
          <w:tcPr>
            <w:tcW w:type="dxa" w:w="2160"/>
          </w:tcPr>
          <w:p>
            <w:r>
              <w:t>High LDL cholesterol (&gt;=160) (exposure)</w:t>
            </w:r>
          </w:p>
        </w:tc>
        <w:tc>
          <w:tcPr>
            <w:tcW w:type="dxa" w:w="2160"/>
          </w:tcPr>
          <w:p>
            <w:r>
              <w:t>9.5%</w:t>
            </w:r>
          </w:p>
        </w:tc>
        <w:tc>
          <w:tcPr>
            <w:tcW w:type="dxa" w:w="2160"/>
          </w:tcPr>
          <w:p>
            <w:r>
              <w:t>7.4%</w:t>
            </w:r>
          </w:p>
        </w:tc>
        <w:tc>
          <w:tcPr>
            <w:tcW w:type="dxa" w:w="2160"/>
          </w:tcPr>
          <w:p>
            <w:r>
              <w:t>11.2%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44.2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52.8%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92.6%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37.3%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