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Hepatic steatosis (odds ratio per 1-SD 1.09 (95% CI 0.89 to 1.32), false discovery rate q 0.474)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0.89 to 1.32)</w:t>
            </w:r>
          </w:p>
        </w:tc>
        <w:tc>
          <w:tcPr>
            <w:tcW w:type="dxa" w:w="1234"/>
          </w:tcPr>
          <w:p>
            <w:r>
              <w:t>0.416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111.6</w:t>
            </w:r>
          </w:p>
        </w:tc>
        <w:tc>
          <w:tcPr>
            <w:tcW w:type="dxa" w:w="2160"/>
          </w:tcPr>
          <w:p>
            <w:r>
              <w:t>109.7</w:t>
            </w:r>
          </w:p>
        </w:tc>
        <w:tc>
          <w:tcPr>
            <w:tcW w:type="dxa" w:w="2160"/>
          </w:tcPr>
          <w:p>
            <w:r>
              <w:t>113.2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