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Hepatic steatosis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Non-HDL cholesterol, mg/dL was positively associated with Hepatic steatosis (odds ratio per 1-SD 1.39 (95% CI 1.19 to 1.62), false discovery rate q 0.003) among 3001 adults aged 20 years or older (a weighted Hepatic steatosis prevalence of 56.0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BMI is part of the steatosis construct and is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1.39 (95% CI 1.19 to 1.62)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Hepatic steatosis</w:t>
            </w:r>
          </w:p>
        </w:tc>
        <w:tc>
          <w:tcPr>
            <w:tcW w:type="dxa" w:w="2160"/>
          </w:tcPr>
          <w:p>
            <w:r>
              <w:t>Hepatic steatosis</w:t>
            </w:r>
          </w:p>
        </w:tc>
      </w:tr>
      <w:tr>
        <w:tc>
          <w:tcPr>
            <w:tcW w:type="dxa" w:w="2160"/>
          </w:tcPr>
          <w:p>
            <w:r>
              <w:t>Non-HDL cholesterol, mg/dL (exposure)</w:t>
            </w:r>
          </w:p>
        </w:tc>
        <w:tc>
          <w:tcPr>
            <w:tcW w:type="dxa" w:w="2160"/>
          </w:tcPr>
          <w:p>
            <w:r>
              <w:t>136.6</w:t>
            </w:r>
          </w:p>
        </w:tc>
        <w:tc>
          <w:tcPr>
            <w:tcW w:type="dxa" w:w="2160"/>
          </w:tcPr>
          <w:p>
            <w:r>
              <w:t>128.7</w:t>
            </w:r>
          </w:p>
        </w:tc>
        <w:tc>
          <w:tcPr>
            <w:tcW w:type="dxa" w:w="2160"/>
          </w:tcPr>
          <w:p>
            <w:r>
              <w:t>142.8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44.2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52.8%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92.6%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37.3%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