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Hepatic steatosis (odds ratio per 1-SD 1.12 (95% CI 0.97 to 1.29), false discovery rate q 0.198)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0.97 to 1.29)</w:t>
            </w:r>
          </w:p>
        </w:tc>
        <w:tc>
          <w:tcPr>
            <w:tcW w:type="dxa" w:w="1234"/>
          </w:tcPr>
          <w:p>
            <w:r>
              <w:t>0.159</w:t>
            </w:r>
          </w:p>
        </w:tc>
        <w:tc>
          <w:tcPr>
            <w:tcW w:type="dxa" w:w="1234"/>
          </w:tcPr>
          <w:p>
            <w:r>
              <w:t>0.198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190.0</w:t>
            </w:r>
          </w:p>
        </w:tc>
        <w:tc>
          <w:tcPr>
            <w:tcW w:type="dxa" w:w="2160"/>
          </w:tcPr>
          <w:p>
            <w:r>
              <w:t>187.0</w:t>
            </w:r>
          </w:p>
        </w:tc>
        <w:tc>
          <w:tcPr>
            <w:tcW w:type="dxa" w:w="2160"/>
          </w:tcPr>
          <w:p>
            <w:r>
              <w:t>192.4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