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Hepatic steatosis (odds ratio 1.39 (95% CI 0.97 to 1.99), false discovery rate q 0.139)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0.97 to 1.99)</w:t>
            </w:r>
          </w:p>
        </w:tc>
        <w:tc>
          <w:tcPr>
            <w:tcW w:type="dxa" w:w="1234"/>
          </w:tcPr>
          <w:p>
            <w:r>
              <w:t>0.107</w:t>
            </w:r>
          </w:p>
        </w:tc>
        <w:tc>
          <w:tcPr>
            <w:tcW w:type="dxa" w:w="1234"/>
          </w:tcPr>
          <w:p>
            <w:r>
              <w:t>0.139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22.5%</w:t>
            </w:r>
          </w:p>
        </w:tc>
        <w:tc>
          <w:tcPr>
            <w:tcW w:type="dxa" w:w="2160"/>
          </w:tcPr>
          <w:p>
            <w:r>
              <w:t>21.4%</w:t>
            </w:r>
          </w:p>
        </w:tc>
        <w:tc>
          <w:tcPr>
            <w:tcW w:type="dxa" w:w="2160"/>
          </w:tcPr>
          <w:p>
            <w:r>
              <w:t>23.4%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