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inversely associated with High body fat (M&gt;=25/F&gt;=35%) (odds ratio 0.92 (95% CI 0.71 to 1.19), false discovery rate q 0.591)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0.92 (95% CI 0.71 to 1.19)</w:t>
            </w:r>
          </w:p>
        </w:tc>
        <w:tc>
          <w:tcPr>
            <w:tcW w:type="dxa" w:w="1234"/>
          </w:tcPr>
          <w:p>
            <w:r>
              <w:t>0.535</w:t>
            </w:r>
          </w:p>
        </w:tc>
        <w:tc>
          <w:tcPr>
            <w:tcW w:type="dxa" w:w="1234"/>
          </w:tcPr>
          <w:p>
            <w:r>
              <w:t>0.591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5.3%</w:t>
            </w:r>
          </w:p>
        </w:tc>
        <w:tc>
          <w:tcPr>
            <w:tcW w:type="dxa" w:w="2160"/>
          </w:tcPr>
          <w:p>
            <w:r>
              <w:t>4.6%</w:t>
            </w:r>
          </w:p>
        </w:tc>
        <w:tc>
          <w:tcPr>
            <w:tcW w:type="dxa" w:w="2160"/>
          </w:tcPr>
          <w:p>
            <w:r>
              <w:t>5.5%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