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High body fat (M&gt;=25/F&gt;=35%) (odds ratio 1.02 (95% CI 0.82 to 1.26), false discovery rate q 0.888)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0.82 to 1.26)</w:t>
            </w:r>
          </w:p>
        </w:tc>
        <w:tc>
          <w:tcPr>
            <w:tcW w:type="dxa" w:w="1234"/>
          </w:tcPr>
          <w:p>
            <w:r>
              <w:t>0.868</w:t>
            </w:r>
          </w:p>
        </w:tc>
        <w:tc>
          <w:tcPr>
            <w:tcW w:type="dxa" w:w="1234"/>
          </w:tcPr>
          <w:p>
            <w:r>
              <w:t>0.888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  <w:tc>
          <w:tcPr>
            <w:tcW w:type="dxa" w:w="2160"/>
          </w:tcPr>
          <w:p>
            <w:r>
              <w:t>6.8%</w:t>
            </w:r>
          </w:p>
        </w:tc>
        <w:tc>
          <w:tcPr>
            <w:tcW w:type="dxa" w:w="2160"/>
          </w:tcPr>
          <w:p>
            <w:r>
              <w:t>8.0%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