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High body fat (M&gt;=25/F&gt;=35%) (odds ratio 0.82 (95% CI 0.72 to 0.94), false discovery rate q 0.010) among 8785 adults aged 20 years or older (a weighted High body fat (M&gt;=25/F&gt;=35%) prevalence of 69.3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0.72 to 0.94)</w:t>
            </w:r>
          </w:p>
        </w:tc>
        <w:tc>
          <w:tcPr>
            <w:tcW w:type="dxa" w:w="1234"/>
          </w:tcPr>
          <w:p>
            <w:r>
              <w:t>0.006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23.2%</w:t>
            </w:r>
          </w:p>
        </w:tc>
        <w:tc>
          <w:tcPr>
            <w:tcW w:type="dxa" w:w="2160"/>
          </w:tcPr>
          <w:p>
            <w:r>
              <w:t>26.5%</w:t>
            </w:r>
          </w:p>
        </w:tc>
        <w:tc>
          <w:tcPr>
            <w:tcW w:type="dxa" w:w="2160"/>
          </w:tcPr>
          <w:p>
            <w:r>
              <w:t>21.7%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