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High body fat (M&gt;=25/F&gt;=35%)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Diastolic blood pressure, mmHg was positively associated with High body fat (M&gt;=25/F&gt;=35%) (odds ratio per 1-SD 1.37 (95% CI 1.27 to 1.47), false discovery rate q &lt;0.001) among 8785 adults aged 20 years or older (a weighted High body fat (M&gt;=25/F&gt;=35%) prevalence of 69.3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1.37 (95% CI 1.27 to 1.47)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Diastolic blood pressure, mmHg (exposure)</w:t>
            </w:r>
          </w:p>
        </w:tc>
        <w:tc>
          <w:tcPr>
            <w:tcW w:type="dxa" w:w="2160"/>
          </w:tcPr>
          <w:p>
            <w:r>
              <w:t>71.9</w:t>
            </w:r>
          </w:p>
        </w:tc>
        <w:tc>
          <w:tcPr>
            <w:tcW w:type="dxa" w:w="2160"/>
          </w:tcPr>
          <w:p>
            <w:r>
              <w:t>69.0</w:t>
            </w:r>
          </w:p>
        </w:tc>
        <w:tc>
          <w:tcPr>
            <w:tcW w:type="dxa" w:w="2160"/>
          </w:tcPr>
          <w:p>
            <w:r>
              <w:t>73.1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40.3</w:t>
            </w:r>
          </w:p>
        </w:tc>
        <w:tc>
          <w:tcPr>
            <w:tcW w:type="dxa" w:w="2160"/>
          </w:tcPr>
          <w:p>
            <w:r>
              <w:t>36.5</w:t>
            </w:r>
          </w:p>
        </w:tc>
        <w:tc>
          <w:tcPr>
            <w:tcW w:type="dxa" w:w="2160"/>
          </w:tcPr>
          <w:p>
            <w:r>
              <w:t>42.0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  <w:tc>
          <w:tcPr>
            <w:tcW w:type="dxa" w:w="2160"/>
          </w:tcPr>
          <w:p>
            <w:r>
              <w:t>57.8%</w:t>
            </w:r>
          </w:p>
        </w:tc>
        <w:tc>
          <w:tcPr>
            <w:tcW w:type="dxa" w:w="2160"/>
          </w:tcPr>
          <w:p>
            <w:r>
              <w:t>46.7%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43.1%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81.8%</w:t>
            </w:r>
          </w:p>
        </w:tc>
        <w:tc>
          <w:tcPr>
            <w:tcW w:type="dxa" w:w="2160"/>
          </w:tcPr>
          <w:p>
            <w:r>
              <w:t>86.9%</w:t>
            </w:r>
          </w:p>
        </w:tc>
        <w:tc>
          <w:tcPr>
            <w:tcW w:type="dxa" w:w="2160"/>
          </w:tcPr>
          <w:p>
            <w:r>
              <w:t>79.5%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