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High body fat (M&gt;=25/F&gt;=35%)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inversely associated with High body fat (M&gt;=25/F&gt;=35%) (odds ratio 0.64 (95% CI 0.53 to 0.76), false discovery rate q &lt;0.001) among 8785 adults aged 20 years or older (a weighted High body fat (M&gt;=25/F&gt;=35%) prevalence of 69.3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0.64 (95% CI 0.53 to 0.76)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