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High body fat (M&gt;=25/F&gt;=35%)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Fasting insulin, uIU/mL was positively associated with High body fat (M&gt;=25/F&gt;=35%) (odds ratio per 1-SD of log 4.17 (95% CI 3.41 to 5.10), false discovery rate q &lt;0.001) among 8785 adults aged 20 years or older (a weighted High body fat (M&gt;=25/F&gt;=35%) prevalence of 69.3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4.17 (95% CI 3.41 to 5.10)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odds ratio is per 1-SD increase in the natural log of Fasting insulin, uIU/mL.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Fasting insulin, uIU/mL (exposure)</w:t>
            </w:r>
          </w:p>
        </w:tc>
        <w:tc>
          <w:tcPr>
            <w:tcW w:type="dxa" w:w="2160"/>
          </w:tcPr>
          <w:p>
            <w:r>
              <w:t>12.1</w:t>
            </w:r>
          </w:p>
        </w:tc>
        <w:tc>
          <w:tcPr>
            <w:tcW w:type="dxa" w:w="2160"/>
          </w:tcPr>
          <w:p>
            <w:r>
              <w:t>6.9</w:t>
            </w:r>
          </w:p>
        </w:tc>
        <w:tc>
          <w:tcPr>
            <w:tcW w:type="dxa" w:w="2160"/>
          </w:tcPr>
          <w:p>
            <w:r>
              <w:t>14.5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36.5</w:t>
            </w:r>
          </w:p>
        </w:tc>
        <w:tc>
          <w:tcPr>
            <w:tcW w:type="dxa" w:w="2160"/>
          </w:tcPr>
          <w:p>
            <w:r>
              <w:t>42.0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57.8%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81.8%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  <w:tc>
          <w:tcPr>
            <w:tcW w:type="dxa" w:w="2160"/>
          </w:tcPr>
          <w:p>
            <w:r>
              <w:t>79.5%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