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High body fat (M&gt;=25/F&gt;=35%) (odds ratio per 1-SD 0.48 (95% CI 0.44 to 0.51),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0.48 (95% CI 0.44 to 0.51)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53.3</w:t>
            </w:r>
          </w:p>
        </w:tc>
        <w:tc>
          <w:tcPr>
            <w:tcW w:type="dxa" w:w="2160"/>
          </w:tcPr>
          <w:p>
            <w:r>
              <w:t>58.9</w:t>
            </w:r>
          </w:p>
        </w:tc>
        <w:tc>
          <w:tcPr>
            <w:tcW w:type="dxa" w:w="2160"/>
          </w:tcPr>
          <w:p>
            <w:r>
              <w:t>50.8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