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Non-HDL cholesterol, mg/dL and High body fat (M&gt;=25/F&gt;=35%)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Non-HDL cholesterol, mg/dL was positively associated with High body fat (M&gt;=25/F&gt;=35%) (odds ratio per 1-SD 1.71 (95% CI 1.55 to 1.88), false discovery rate q &lt;0.001) among 8785 adults aged 20 years or older (a weighted High body fat (M&gt;=25/F&gt;=35%) prevalence of 69.3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Non-HDL cholesterol, mg/dL</w:t>
            </w:r>
          </w:p>
        </w:tc>
        <w:tc>
          <w:tcPr>
            <w:tcW w:type="dxa" w:w="1234"/>
          </w:tcPr>
          <w:p>
            <w:r>
              <w:t>High body fat (M&gt;=25/F&gt;=35%)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1.71 (95% CI 1.55 to 1.88)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8785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body fat (M&gt;=25/F&gt;=35%)</w:t>
            </w:r>
          </w:p>
        </w:tc>
        <w:tc>
          <w:tcPr>
            <w:tcW w:type="dxa" w:w="2160"/>
          </w:tcPr>
          <w:p>
            <w:r>
              <w:t>High body fat (M&gt;=25/F&gt;=35%)</w:t>
            </w:r>
          </w:p>
        </w:tc>
      </w:tr>
      <w:tr>
        <w:tc>
          <w:tcPr>
            <w:tcW w:type="dxa" w:w="2160"/>
          </w:tcPr>
          <w:p>
            <w:r>
              <w:t>Non-HDL cholesterol, mg/dL (exposure)</w:t>
            </w:r>
          </w:p>
        </w:tc>
        <w:tc>
          <w:tcPr>
            <w:tcW w:type="dxa" w:w="2160"/>
          </w:tcPr>
          <w:p>
            <w:r>
              <w:t>140.8</w:t>
            </w:r>
          </w:p>
        </w:tc>
        <w:tc>
          <w:tcPr>
            <w:tcW w:type="dxa" w:w="2160"/>
          </w:tcPr>
          <w:p>
            <w:r>
              <w:t>126.4</w:t>
            </w:r>
          </w:p>
        </w:tc>
        <w:tc>
          <w:tcPr>
            <w:tcW w:type="dxa" w:w="2160"/>
          </w:tcPr>
          <w:p>
            <w:r>
              <w:t>147.1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40.3</w:t>
            </w:r>
          </w:p>
        </w:tc>
        <w:tc>
          <w:tcPr>
            <w:tcW w:type="dxa" w:w="2160"/>
          </w:tcPr>
          <w:p>
            <w:r>
              <w:t>36.5</w:t>
            </w:r>
          </w:p>
        </w:tc>
        <w:tc>
          <w:tcPr>
            <w:tcW w:type="dxa" w:w="2160"/>
          </w:tcPr>
          <w:p>
            <w:r>
              <w:t>42.0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  <w:tc>
          <w:tcPr>
            <w:tcW w:type="dxa" w:w="2160"/>
          </w:tcPr>
          <w:p>
            <w:r>
              <w:t>57.8%</w:t>
            </w:r>
          </w:p>
        </w:tc>
        <w:tc>
          <w:tcPr>
            <w:tcW w:type="dxa" w:w="2160"/>
          </w:tcPr>
          <w:p>
            <w:r>
              <w:t>46.7%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  <w:tc>
          <w:tcPr>
            <w:tcW w:type="dxa" w:w="2160"/>
          </w:tcPr>
          <w:p>
            <w:r>
              <w:t>43.1%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81.8%</w:t>
            </w:r>
          </w:p>
        </w:tc>
        <w:tc>
          <w:tcPr>
            <w:tcW w:type="dxa" w:w="2160"/>
          </w:tcPr>
          <w:p>
            <w:r>
              <w:t>86.9%</w:t>
            </w:r>
          </w:p>
        </w:tc>
        <w:tc>
          <w:tcPr>
            <w:tcW w:type="dxa" w:w="2160"/>
          </w:tcPr>
          <w:p>
            <w:r>
              <w:t>79.5%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