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High body fat (M&gt;=25/F&gt;=35%) (odds ratio per 1-SD 0.68 (95% CI 0.64 to 0.72),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0.68 (95% CI 0.64 to 0.72)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  <w:tc>
          <w:tcPr>
            <w:tcW w:type="dxa" w:w="2160"/>
          </w:tcPr>
          <w:p>
            <w:r>
              <w:t>28.3</w:t>
            </w:r>
          </w:p>
        </w:tc>
        <w:tc>
          <w:tcPr>
            <w:tcW w:type="dxa" w:w="2160"/>
          </w:tcPr>
          <w:p>
            <w:r>
              <w:t>25.2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