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High body fat (M&gt;=25/F&gt;=35%) (odds ratio per 1-SD 1.25 (95% CI 1.15 to 1.36),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1.15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194.1</w:t>
            </w:r>
          </w:p>
        </w:tc>
        <w:tc>
          <w:tcPr>
            <w:tcW w:type="dxa" w:w="2160"/>
          </w:tcPr>
          <w:p>
            <w:r>
              <w:t>185.3</w:t>
            </w:r>
          </w:p>
        </w:tc>
        <w:tc>
          <w:tcPr>
            <w:tcW w:type="dxa" w:w="2160"/>
          </w:tcPr>
          <w:p>
            <w:r>
              <w:t>197.9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