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 mass, kg and High LDL cholesterol (&gt;=160)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Appendicular skeletal muscle mass, kg was positively associated with High LDL cholesterol (&gt;=160) (odds ratio per 1-SD 1.04 (95% CI 0.85 to 1.27), false discovery rate q 0.735) among 12093 adults aged 20 years or older (a weighted High LDL cholesterol (&gt;=160) prevalence of 10.1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1.04 (95% CI 0.85 to 1.27)</w:t>
            </w:r>
          </w:p>
        </w:tc>
        <w:tc>
          <w:tcPr>
            <w:tcW w:type="dxa" w:w="1234"/>
          </w:tcPr>
          <w:p>
            <w:r>
              <w:t>0.695</w:t>
            </w:r>
          </w:p>
        </w:tc>
        <w:tc>
          <w:tcPr>
            <w:tcW w:type="dxa" w:w="1234"/>
          </w:tcPr>
          <w:p>
            <w:r>
              <w:t>0.735</w:t>
            </w:r>
          </w:p>
        </w:tc>
        <w:tc>
          <w:tcPr>
            <w:tcW w:type="dxa" w:w="1234"/>
          </w:tcPr>
          <w:p>
            <w:r>
              <w:t>12093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LDL cholesterol (&gt;=160)</w:t>
            </w:r>
          </w:p>
        </w:tc>
        <w:tc>
          <w:tcPr>
            <w:tcW w:type="dxa" w:w="2160"/>
          </w:tcPr>
          <w:p>
            <w:r>
              <w:t>High LDL cholesterol (&gt;=160)</w:t>
            </w:r>
          </w:p>
        </w:tc>
      </w:tr>
      <w:tr>
        <w:tc>
          <w:tcPr>
            <w:tcW w:type="dxa" w:w="2160"/>
          </w:tcPr>
          <w:p>
            <w:r>
              <w:t>Appendicular skeletal muscle mass, kg (exposure)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50.2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29.5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80.4%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